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8" w:type="dxa"/>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28"/>
        <w:gridCol w:w="3387"/>
        <w:gridCol w:w="1149"/>
        <w:gridCol w:w="1559"/>
        <w:gridCol w:w="1075"/>
      </w:tblGrid>
      <w:tr w:rsidR="00886304" w:rsidRPr="00391153" w:rsidTr="003A212E">
        <w:trPr>
          <w:cantSplit/>
          <w:trHeight w:val="858"/>
          <w:jc w:val="center"/>
        </w:trPr>
        <w:tc>
          <w:tcPr>
            <w:tcW w:w="1828"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886304" w:rsidRPr="00391153" w:rsidRDefault="00886304" w:rsidP="00E41A80">
            <w:pPr>
              <w:pStyle w:val="En-tte"/>
              <w:jc w:val="center"/>
              <w:rPr>
                <w:b/>
              </w:rPr>
            </w:pPr>
            <w:r w:rsidRPr="00B1076E">
              <w:rPr>
                <w:b/>
                <w:noProof/>
              </w:rPr>
              <w:drawing>
                <wp:inline distT="0" distB="0" distL="0" distR="0" wp14:anchorId="7F326D47" wp14:editId="4C97483C">
                  <wp:extent cx="932400" cy="723600"/>
                  <wp:effectExtent l="0" t="0" r="1270" b="635"/>
                  <wp:docPr id="2" name="Image 2"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Pr>
                <w:b/>
              </w:rPr>
              <w:t>Compte Rendu</w:t>
            </w:r>
          </w:p>
        </w:tc>
        <w:tc>
          <w:tcPr>
            <w:tcW w:w="3387"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rsidR="00886304" w:rsidRDefault="00B368B9" w:rsidP="00E41A80">
            <w:pPr>
              <w:pStyle w:val="Corpsdetexte"/>
              <w:jc w:val="center"/>
              <w:rPr>
                <w:b/>
                <w:bCs/>
                <w:i w:val="0"/>
                <w:lang w:eastAsia="en-US"/>
              </w:rPr>
            </w:pPr>
            <w:r>
              <w:rPr>
                <w:b/>
                <w:bCs/>
                <w:i w:val="0"/>
                <w:lang w:eastAsia="en-US"/>
              </w:rPr>
              <w:t>Réunion 2019.03.29</w:t>
            </w:r>
          </w:p>
          <w:p w:rsidR="00B368B9" w:rsidRPr="00F523AF" w:rsidRDefault="00B368B9" w:rsidP="00F43363">
            <w:pPr>
              <w:pStyle w:val="Corpsdetexte"/>
              <w:jc w:val="center"/>
              <w:rPr>
                <w:bCs/>
                <w:lang w:eastAsia="en-US"/>
              </w:rPr>
            </w:pPr>
            <w:r>
              <w:rPr>
                <w:bCs/>
                <w:lang w:eastAsia="en-US"/>
              </w:rPr>
              <w:t>(formulaire AFIDBA</w:t>
            </w:r>
            <w:r w:rsidR="0062477F">
              <w:rPr>
                <w:bCs/>
                <w:lang w:eastAsia="en-US"/>
              </w:rPr>
              <w:t xml:space="preserve">, </w:t>
            </w:r>
            <w:r w:rsidR="000E6E82">
              <w:rPr>
                <w:bCs/>
                <w:lang w:eastAsia="en-US"/>
              </w:rPr>
              <w:t>convention SanarSoft-IRD</w:t>
            </w:r>
            <w:r w:rsidR="00F43363">
              <w:rPr>
                <w:bCs/>
                <w:lang w:eastAsia="en-US"/>
              </w:rPr>
              <w:t>,</w:t>
            </w:r>
            <w:r w:rsidR="000E6E82">
              <w:rPr>
                <w:bCs/>
                <w:lang w:eastAsia="en-US"/>
              </w:rPr>
              <w:t xml:space="preserve"> </w:t>
            </w:r>
            <w:r w:rsidR="0062477F">
              <w:rPr>
                <w:bCs/>
                <w:lang w:eastAsia="en-US"/>
              </w:rPr>
              <w:t>mobilité Sud Nord)</w:t>
            </w:r>
            <w:r w:rsidR="000E6E82">
              <w:rPr>
                <w:bCs/>
                <w:lang w:eastAsia="en-US"/>
              </w:rPr>
              <w:t xml:space="preserve"> </w:t>
            </w:r>
          </w:p>
        </w:tc>
        <w:tc>
          <w:tcPr>
            <w:tcW w:w="1149"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886304" w:rsidRPr="00F43363" w:rsidRDefault="00B368B9" w:rsidP="00A720BF">
            <w:pPr>
              <w:pStyle w:val="En-tte"/>
              <w:spacing w:line="276" w:lineRule="auto"/>
              <w:jc w:val="center"/>
              <w:rPr>
                <w:b/>
                <w:sz w:val="20"/>
              </w:rPr>
            </w:pPr>
            <w:r w:rsidRPr="00F43363">
              <w:rPr>
                <w:b/>
                <w:sz w:val="20"/>
              </w:rPr>
              <w:t>Rédact</w:t>
            </w:r>
            <w:r w:rsidR="003A212E">
              <w:rPr>
                <w:b/>
                <w:sz w:val="20"/>
              </w:rPr>
              <w:t>ion</w:t>
            </w:r>
          </w:p>
          <w:p w:rsidR="00886304" w:rsidRPr="00F43363" w:rsidRDefault="003A212E" w:rsidP="00A720BF">
            <w:pPr>
              <w:pStyle w:val="En-tte"/>
              <w:spacing w:line="276" w:lineRule="auto"/>
              <w:jc w:val="center"/>
              <w:rPr>
                <w:sz w:val="20"/>
              </w:rPr>
            </w:pPr>
            <w:r>
              <w:rPr>
                <w:sz w:val="20"/>
              </w:rPr>
              <w:t>P. S.</w:t>
            </w:r>
            <w:r w:rsidR="00886304" w:rsidRPr="00F43363">
              <w:rPr>
                <w:sz w:val="20"/>
              </w:rPr>
              <w:t xml:space="preserve"> Ndiaye  </w:t>
            </w:r>
          </w:p>
        </w:tc>
        <w:tc>
          <w:tcPr>
            <w:tcW w:w="155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886304" w:rsidRPr="00F43363" w:rsidRDefault="00886304" w:rsidP="00A720BF">
            <w:pPr>
              <w:pStyle w:val="En-tte"/>
              <w:spacing w:line="256" w:lineRule="auto"/>
              <w:jc w:val="center"/>
              <w:rPr>
                <w:sz w:val="20"/>
              </w:rPr>
            </w:pPr>
            <w:r w:rsidRPr="00F43363">
              <w:rPr>
                <w:b/>
                <w:sz w:val="20"/>
              </w:rPr>
              <w:t>Date création</w:t>
            </w:r>
            <w:r w:rsidRPr="00F43363">
              <w:rPr>
                <w:b/>
                <w:sz w:val="20"/>
              </w:rPr>
              <w:br/>
            </w:r>
            <w:r w:rsidRPr="00F43363">
              <w:rPr>
                <w:sz w:val="20"/>
              </w:rPr>
              <w:t>17.09.2019</w:t>
            </w:r>
          </w:p>
        </w:tc>
        <w:tc>
          <w:tcPr>
            <w:tcW w:w="107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886304" w:rsidRPr="00F43363" w:rsidRDefault="00886304" w:rsidP="00BE16C2">
            <w:pPr>
              <w:pStyle w:val="En-tte"/>
              <w:spacing w:line="256" w:lineRule="auto"/>
              <w:jc w:val="center"/>
              <w:rPr>
                <w:sz w:val="20"/>
              </w:rPr>
            </w:pPr>
            <w:r w:rsidRPr="00F43363">
              <w:rPr>
                <w:b/>
                <w:sz w:val="20"/>
              </w:rPr>
              <w:t>Référence</w:t>
            </w:r>
            <w:r w:rsidRPr="00F43363">
              <w:rPr>
                <w:sz w:val="20"/>
              </w:rPr>
              <w:br/>
              <w:t>32CR.00</w:t>
            </w:r>
            <w:r w:rsidR="00BE16C2" w:rsidRPr="00F43363">
              <w:rPr>
                <w:sz w:val="20"/>
              </w:rPr>
              <w:t>2</w:t>
            </w:r>
          </w:p>
        </w:tc>
      </w:tr>
      <w:tr w:rsidR="00886304" w:rsidTr="003A212E">
        <w:trPr>
          <w:cantSplit/>
          <w:trHeight w:val="501"/>
          <w:jc w:val="center"/>
        </w:trPr>
        <w:tc>
          <w:tcPr>
            <w:tcW w:w="1828"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886304" w:rsidRDefault="00886304" w:rsidP="00A720BF">
            <w:pPr>
              <w:rPr>
                <w:b/>
              </w:rPr>
            </w:pPr>
          </w:p>
        </w:tc>
        <w:tc>
          <w:tcPr>
            <w:tcW w:w="3387"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886304" w:rsidRDefault="00886304" w:rsidP="00A720BF">
            <w:pPr>
              <w:rPr>
                <w:b/>
                <w:bCs/>
              </w:rPr>
            </w:pPr>
          </w:p>
        </w:tc>
        <w:tc>
          <w:tcPr>
            <w:tcW w:w="1149"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886304" w:rsidRPr="00F43363" w:rsidRDefault="00886304" w:rsidP="00A720BF">
            <w:pPr>
              <w:rPr>
                <w:sz w:val="20"/>
              </w:rPr>
            </w:pPr>
          </w:p>
        </w:tc>
        <w:tc>
          <w:tcPr>
            <w:tcW w:w="155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886304" w:rsidRPr="00F43363" w:rsidRDefault="00886304" w:rsidP="00A720BF">
            <w:pPr>
              <w:pStyle w:val="En-tte"/>
              <w:spacing w:line="256" w:lineRule="auto"/>
              <w:jc w:val="center"/>
              <w:rPr>
                <w:b/>
                <w:sz w:val="20"/>
              </w:rPr>
            </w:pPr>
            <w:r w:rsidRPr="00F43363">
              <w:rPr>
                <w:b/>
                <w:sz w:val="20"/>
              </w:rPr>
              <w:t xml:space="preserve">Dernière modif. </w:t>
            </w:r>
          </w:p>
          <w:p w:rsidR="00886304" w:rsidRPr="00F43363" w:rsidRDefault="00B368B9" w:rsidP="00A720BF">
            <w:pPr>
              <w:pStyle w:val="En-tte"/>
              <w:spacing w:line="256" w:lineRule="auto"/>
              <w:jc w:val="center"/>
              <w:rPr>
                <w:sz w:val="20"/>
              </w:rPr>
            </w:pPr>
            <w:r w:rsidRPr="00F43363">
              <w:rPr>
                <w:sz w:val="20"/>
              </w:rPr>
              <w:fldChar w:fldCharType="begin"/>
            </w:r>
            <w:r w:rsidRPr="00F43363">
              <w:rPr>
                <w:sz w:val="20"/>
              </w:rPr>
              <w:instrText xml:space="preserve"> DATE  \@ "dd/MM/yyyy"  \* MERGEFORMAT </w:instrText>
            </w:r>
            <w:r w:rsidRPr="00F43363">
              <w:rPr>
                <w:sz w:val="20"/>
              </w:rPr>
              <w:fldChar w:fldCharType="separate"/>
            </w:r>
            <w:r w:rsidR="001B3D04">
              <w:rPr>
                <w:noProof/>
                <w:sz w:val="20"/>
              </w:rPr>
              <w:t>14/03/2022</w:t>
            </w:r>
            <w:r w:rsidRPr="00F43363">
              <w:rPr>
                <w:sz w:val="20"/>
              </w:rPr>
              <w:fldChar w:fldCharType="end"/>
            </w:r>
          </w:p>
        </w:tc>
        <w:tc>
          <w:tcPr>
            <w:tcW w:w="1075"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886304" w:rsidRPr="00F43363" w:rsidRDefault="00886304" w:rsidP="00A720BF">
            <w:pPr>
              <w:pStyle w:val="En-tte"/>
              <w:spacing w:line="256" w:lineRule="auto"/>
              <w:jc w:val="center"/>
              <w:rPr>
                <w:sz w:val="20"/>
              </w:rPr>
            </w:pPr>
            <w:r w:rsidRPr="00F43363">
              <w:rPr>
                <w:snapToGrid w:val="0"/>
                <w:sz w:val="20"/>
              </w:rPr>
              <w:fldChar w:fldCharType="begin"/>
            </w:r>
            <w:r w:rsidRPr="00F43363">
              <w:rPr>
                <w:snapToGrid w:val="0"/>
                <w:sz w:val="20"/>
              </w:rPr>
              <w:instrText xml:space="preserve"> PAGE  \* Arabic  \* MERGEFORMAT </w:instrText>
            </w:r>
            <w:r w:rsidRPr="00F43363">
              <w:rPr>
                <w:snapToGrid w:val="0"/>
                <w:sz w:val="20"/>
              </w:rPr>
              <w:fldChar w:fldCharType="separate"/>
            </w:r>
            <w:r w:rsidR="001B3D04">
              <w:rPr>
                <w:noProof/>
                <w:snapToGrid w:val="0"/>
                <w:sz w:val="20"/>
              </w:rPr>
              <w:t>1</w:t>
            </w:r>
            <w:r w:rsidRPr="00F43363">
              <w:rPr>
                <w:snapToGrid w:val="0"/>
                <w:sz w:val="20"/>
              </w:rPr>
              <w:fldChar w:fldCharType="end"/>
            </w:r>
            <w:r w:rsidRPr="00F43363">
              <w:rPr>
                <w:snapToGrid w:val="0"/>
                <w:sz w:val="20"/>
              </w:rPr>
              <w:t xml:space="preserve"> Page (s)</w:t>
            </w:r>
          </w:p>
        </w:tc>
      </w:tr>
    </w:tbl>
    <w:p w:rsidR="00886304" w:rsidRDefault="00886304" w:rsidP="00886304">
      <w:pPr>
        <w:spacing w:before="240"/>
        <w:jc w:val="both"/>
        <w:rPr>
          <w:b/>
        </w:rPr>
      </w:pPr>
      <w:r>
        <w:rPr>
          <w:b/>
        </w:rPr>
        <w:t xml:space="preserve">Révision </w:t>
      </w:r>
      <w:r>
        <w:t xml:space="preserve">: Jean Le Fur </w:t>
      </w:r>
      <w:r>
        <w:rPr>
          <w:b/>
        </w:rPr>
        <w:t xml:space="preserve"> </w:t>
      </w:r>
    </w:p>
    <w:p w:rsidR="00B368B9" w:rsidRPr="00493F3A" w:rsidRDefault="00B368B9" w:rsidP="00B368B9">
      <w:pPr>
        <w:jc w:val="both"/>
        <w:rPr>
          <w:b/>
        </w:rPr>
      </w:pPr>
      <w:r w:rsidRPr="00493F3A">
        <w:rPr>
          <w:b/>
        </w:rPr>
        <w:t xml:space="preserve">Participants </w:t>
      </w:r>
      <w:r>
        <w:t xml:space="preserve">: JLF, PSN, MS (pas d’absents) </w:t>
      </w:r>
      <w:r>
        <w:rPr>
          <w:b/>
        </w:rPr>
        <w:t xml:space="preserve"> </w:t>
      </w:r>
    </w:p>
    <w:p w:rsidR="00886304" w:rsidRPr="00504068" w:rsidRDefault="00886304" w:rsidP="00886304">
      <w:pPr>
        <w:jc w:val="both"/>
      </w:pPr>
      <w:r w:rsidRPr="00504068">
        <w:rPr>
          <w:b/>
        </w:rPr>
        <w:t>Mots clefs</w:t>
      </w:r>
      <w:r w:rsidR="00504068">
        <w:t> :</w:t>
      </w:r>
      <w:r w:rsidR="00504068">
        <w:rPr>
          <w:rFonts w:ascii="Arial Narrow" w:hAnsi="Arial Narrow"/>
          <w:color w:val="000000"/>
          <w:sz w:val="27"/>
          <w:szCs w:val="27"/>
        </w:rPr>
        <w:t> </w:t>
      </w:r>
      <w:hyperlink r:id="rId9" w:history="1">
        <w:r w:rsidR="00504068" w:rsidRPr="00504068">
          <w:rPr>
            <w:rStyle w:val="Lienhypertexte"/>
          </w:rPr>
          <w:t>AFIDBA</w:t>
        </w:r>
      </w:hyperlink>
      <w:r w:rsidR="00504068">
        <w:rPr>
          <w:color w:val="000000"/>
        </w:rPr>
        <w:t>,</w:t>
      </w:r>
      <w:r w:rsidR="00504068" w:rsidRPr="00504068">
        <w:rPr>
          <w:color w:val="000000"/>
        </w:rPr>
        <w:t> </w:t>
      </w:r>
      <w:hyperlink r:id="rId10" w:history="1">
        <w:r w:rsidR="00504068" w:rsidRPr="00504068">
          <w:rPr>
            <w:rStyle w:val="Lienhypertexte"/>
          </w:rPr>
          <w:t>compte-rendu</w:t>
        </w:r>
      </w:hyperlink>
      <w:r w:rsidR="00504068">
        <w:t xml:space="preserve">, </w:t>
      </w:r>
      <w:hyperlink r:id="rId11" w:history="1">
        <w:r w:rsidR="00504068" w:rsidRPr="00504068">
          <w:rPr>
            <w:rStyle w:val="Lienhypertexte"/>
          </w:rPr>
          <w:t>convention IRD-SanarSo</w:t>
        </w:r>
        <w:bookmarkStart w:id="0" w:name="_GoBack"/>
        <w:bookmarkEnd w:id="0"/>
        <w:r w:rsidR="00504068" w:rsidRPr="00504068">
          <w:rPr>
            <w:rStyle w:val="Lienhypertexte"/>
          </w:rPr>
          <w:t>ft</w:t>
        </w:r>
      </w:hyperlink>
    </w:p>
    <w:p w:rsidR="00886304" w:rsidRDefault="00886304" w:rsidP="008648F6">
      <w:pPr>
        <w:spacing w:after="120"/>
        <w:ind w:left="1077" w:hanging="1077"/>
        <w:jc w:val="both"/>
      </w:pPr>
      <w:r>
        <w:rPr>
          <w:b/>
        </w:rPr>
        <w:t xml:space="preserve">Résumé </w:t>
      </w:r>
      <w:r>
        <w:t xml:space="preserve">: </w:t>
      </w:r>
      <w:r w:rsidR="008648F6">
        <w:t>préparation de la réponse finale à l’appel d’offre AFIDBA,</w:t>
      </w:r>
      <w:r w:rsidR="000C0AE6">
        <w:t xml:space="preserve"> point sur la révision de </w:t>
      </w:r>
      <w:r w:rsidR="008648F6">
        <w:t xml:space="preserve">la convention </w:t>
      </w:r>
      <w:r w:rsidR="000C0AE6">
        <w:t>SanarSoft-</w:t>
      </w:r>
      <w:r w:rsidR="008648F6">
        <w:t>IRD</w:t>
      </w:r>
      <w:r w:rsidR="000C0AE6">
        <w:t xml:space="preserve"> reporté, introduction de la </w:t>
      </w:r>
      <w:r w:rsidR="008648F6">
        <w:t>demande de séjour pour P</w:t>
      </w:r>
      <w:r w:rsidR="00052C5C">
        <w:t xml:space="preserve">. </w:t>
      </w:r>
      <w:r w:rsidR="008648F6">
        <w:t>S</w:t>
      </w:r>
      <w:r w:rsidR="00052C5C">
        <w:t xml:space="preserve">. </w:t>
      </w:r>
      <w:r w:rsidR="008648F6">
        <w:t>N</w:t>
      </w:r>
      <w:r w:rsidR="00052C5C">
        <w:t>diaye</w:t>
      </w:r>
      <w:r w:rsidR="008648F6">
        <w:t>.</w:t>
      </w:r>
    </w:p>
    <w:p w:rsidR="008648F6" w:rsidRDefault="008648F6" w:rsidP="008648F6">
      <w:pPr>
        <w:spacing w:after="120"/>
        <w:ind w:left="1077" w:hanging="1077"/>
        <w:jc w:val="both"/>
      </w:pPr>
      <w:r w:rsidRPr="004E3E84">
        <w:rPr>
          <w:b/>
        </w:rPr>
        <w:t>Secrétaire de Séance</w:t>
      </w:r>
      <w:r>
        <w:t> : Papa Souleymane Ndiaye</w:t>
      </w:r>
    </w:p>
    <w:p w:rsidR="00B368B9" w:rsidRPr="00493F3A" w:rsidRDefault="00B368B9" w:rsidP="00B368B9">
      <w:pPr>
        <w:jc w:val="both"/>
        <w:rPr>
          <w:b/>
        </w:rPr>
      </w:pPr>
      <w:r>
        <w:rPr>
          <w:b/>
        </w:rPr>
        <w:t xml:space="preserve">Réunion tenue en </w:t>
      </w:r>
      <w:proofErr w:type="spellStart"/>
      <w:r>
        <w:rPr>
          <w:b/>
        </w:rPr>
        <w:t>skype</w:t>
      </w:r>
      <w:proofErr w:type="spellEnd"/>
      <w:r>
        <w:rPr>
          <w:b/>
        </w:rPr>
        <w:t xml:space="preserve"> </w:t>
      </w:r>
    </w:p>
    <w:p w:rsidR="00886304" w:rsidRDefault="00886304" w:rsidP="00886304">
      <w:pPr>
        <w:spacing w:before="240"/>
        <w:jc w:val="both"/>
      </w:pPr>
      <w:r>
        <w:t>Le 29 Mars 2019 à 10h une deuxième réunion s’est tenue sur Skype entre SanarSoft et IRD pour corriger le formulaire à déposer pour la demande de financement AFIDBA, de la convention qui doit être établie entre les</w:t>
      </w:r>
      <w:r w:rsidR="0062477F">
        <w:t xml:space="preserve"> deux parties et faire le point</w:t>
      </w:r>
      <w:r>
        <w:t xml:space="preserve"> sur les décisions de la réunion précédente. </w:t>
      </w:r>
    </w:p>
    <w:p w:rsidR="00886304" w:rsidRDefault="00886304" w:rsidP="00886304">
      <w:pPr>
        <w:keepNext/>
        <w:keepLines/>
        <w:spacing w:before="240" w:line="276" w:lineRule="auto"/>
        <w:rPr>
          <w:rFonts w:ascii="Cambria" w:eastAsia="Cambria" w:hAnsi="Cambria" w:cs="Cambria"/>
          <w:b/>
          <w:color w:val="365F91"/>
          <w:sz w:val="30"/>
        </w:rPr>
      </w:pPr>
      <w:r>
        <w:rPr>
          <w:rFonts w:ascii="Cambria" w:eastAsia="Cambria" w:hAnsi="Cambria" w:cs="Cambria"/>
          <w:b/>
          <w:color w:val="365F91"/>
          <w:sz w:val="30"/>
        </w:rPr>
        <w:t xml:space="preserve">Ordre du jour :   </w:t>
      </w:r>
    </w:p>
    <w:p w:rsidR="00886304" w:rsidRPr="009F272C" w:rsidRDefault="00886304" w:rsidP="00886304">
      <w:pPr>
        <w:pStyle w:val="Paragraphedeliste"/>
        <w:numPr>
          <w:ilvl w:val="0"/>
          <w:numId w:val="8"/>
        </w:numPr>
      </w:pPr>
      <w:r w:rsidRPr="009F272C">
        <w:t>Corriger le formulaire demande de financement AFIDBA</w:t>
      </w:r>
    </w:p>
    <w:p w:rsidR="00886304" w:rsidRPr="009F272C" w:rsidRDefault="00886304" w:rsidP="00886304">
      <w:pPr>
        <w:pStyle w:val="Paragraphedeliste"/>
        <w:numPr>
          <w:ilvl w:val="0"/>
          <w:numId w:val="8"/>
        </w:numPr>
      </w:pPr>
      <w:r w:rsidRPr="009F272C">
        <w:t>Convention SanarSoft &amp; IRD</w:t>
      </w:r>
    </w:p>
    <w:p w:rsidR="00886304" w:rsidRDefault="00886304" w:rsidP="00B368B9">
      <w:pPr>
        <w:pStyle w:val="Paragraphedeliste"/>
        <w:numPr>
          <w:ilvl w:val="0"/>
          <w:numId w:val="8"/>
        </w:numPr>
        <w:spacing w:before="240" w:after="120"/>
        <w:jc w:val="both"/>
      </w:pPr>
      <w:r>
        <w:t>Divers</w:t>
      </w:r>
    </w:p>
    <w:p w:rsidR="00B368B9" w:rsidRDefault="00B368B9" w:rsidP="00B368B9">
      <w:pPr>
        <w:pStyle w:val="Paragraphedeliste"/>
        <w:spacing w:before="240" w:after="120"/>
        <w:ind w:left="1068"/>
        <w:jc w:val="both"/>
      </w:pPr>
    </w:p>
    <w:p w:rsidR="00886304" w:rsidRPr="009F272C" w:rsidRDefault="00886304" w:rsidP="00886304">
      <w:pPr>
        <w:pStyle w:val="Paragraphedeliste"/>
        <w:keepNext/>
        <w:keepLines/>
        <w:numPr>
          <w:ilvl w:val="0"/>
          <w:numId w:val="11"/>
        </w:numPr>
        <w:spacing w:before="240" w:line="276" w:lineRule="auto"/>
        <w:rPr>
          <w:rFonts w:ascii="Cambria" w:eastAsia="Cambria" w:hAnsi="Cambria" w:cs="Cambria"/>
          <w:b/>
          <w:color w:val="365F91"/>
          <w:sz w:val="30"/>
        </w:rPr>
      </w:pPr>
      <w:r w:rsidRPr="009F272C">
        <w:rPr>
          <w:rFonts w:ascii="Cambria" w:eastAsia="Cambria" w:hAnsi="Cambria" w:cs="Cambria"/>
          <w:b/>
          <w:color w:val="365F91"/>
          <w:sz w:val="30"/>
        </w:rPr>
        <w:t xml:space="preserve">Correction du formulaire à déposer </w:t>
      </w:r>
      <w:r w:rsidR="00712BFA">
        <w:rPr>
          <w:rFonts w:ascii="Cambria" w:eastAsia="Cambria" w:hAnsi="Cambria" w:cs="Cambria"/>
          <w:b/>
          <w:color w:val="365F91"/>
          <w:sz w:val="30"/>
        </w:rPr>
        <w:t>pour</w:t>
      </w:r>
      <w:r w:rsidRPr="009F272C">
        <w:rPr>
          <w:rFonts w:ascii="Cambria" w:eastAsia="Cambria" w:hAnsi="Cambria" w:cs="Cambria"/>
          <w:b/>
          <w:color w:val="365F91"/>
          <w:sz w:val="30"/>
        </w:rPr>
        <w:t xml:space="preserve"> AFIDBA</w:t>
      </w:r>
    </w:p>
    <w:p w:rsidR="00886304" w:rsidRDefault="00886304" w:rsidP="00886304">
      <w:pPr>
        <w:jc w:val="both"/>
      </w:pPr>
      <w:r>
        <w:t>Après une première correction faite par Jean et Moussa sur la version envoyé par Pape, une deuxième correction a été faite à trois (03) pour tirer une version finale du formulaire.</w:t>
      </w:r>
    </w:p>
    <w:p w:rsidR="00886304" w:rsidRDefault="00886304" w:rsidP="00886304">
      <w:pPr>
        <w:jc w:val="both"/>
      </w:pPr>
      <w:r>
        <w:t xml:space="preserve">Rendez-vous devra être pris avec </w:t>
      </w:r>
      <w:proofErr w:type="spellStart"/>
      <w:r>
        <w:t>MakeSense</w:t>
      </w:r>
      <w:proofErr w:type="spellEnd"/>
      <w:r>
        <w:t xml:space="preserve"> avant de soumettre le formulaire pour candidater. </w:t>
      </w:r>
    </w:p>
    <w:p w:rsidR="00886304" w:rsidRPr="00240B93" w:rsidRDefault="00886304" w:rsidP="00886304">
      <w:pPr>
        <w:pStyle w:val="Paragraphedeliste"/>
        <w:keepNext/>
        <w:keepLines/>
        <w:numPr>
          <w:ilvl w:val="0"/>
          <w:numId w:val="11"/>
        </w:numPr>
        <w:spacing w:before="240" w:line="276" w:lineRule="auto"/>
        <w:rPr>
          <w:rFonts w:ascii="Cambria" w:eastAsia="Cambria" w:hAnsi="Cambria" w:cs="Cambria"/>
          <w:b/>
          <w:color w:val="365F91"/>
          <w:sz w:val="30"/>
        </w:rPr>
      </w:pPr>
      <w:r>
        <w:rPr>
          <w:rFonts w:ascii="Cambria" w:eastAsia="Cambria" w:hAnsi="Cambria" w:cs="Cambria"/>
          <w:b/>
          <w:color w:val="365F91"/>
          <w:sz w:val="30"/>
        </w:rPr>
        <w:t>Convention SanarSoft &amp; IRD</w:t>
      </w:r>
    </w:p>
    <w:p w:rsidR="00886304" w:rsidRDefault="00886304" w:rsidP="00886304">
      <w:pPr>
        <w:jc w:val="both"/>
      </w:pPr>
      <w:r>
        <w:t>Ce point a été reporté jusqu’à la prochaine réunion afin de permettre aux parties de lire en détail les clauses qui constituent le contrat. Une bonne compréhension des clauses de la convention permettra d’apporter des modifications substantielles si nécessaires et d’aller plus vite dans la correction</w:t>
      </w:r>
      <w:r w:rsidRPr="00D8427A">
        <w:t>.</w:t>
      </w:r>
      <w:r>
        <w:t xml:space="preserve"> </w:t>
      </w:r>
    </w:p>
    <w:p w:rsidR="00886304" w:rsidRPr="008B493E" w:rsidRDefault="00886304" w:rsidP="00886304">
      <w:pPr>
        <w:pStyle w:val="Paragraphedeliste"/>
        <w:keepNext/>
        <w:keepLines/>
        <w:numPr>
          <w:ilvl w:val="0"/>
          <w:numId w:val="11"/>
        </w:numPr>
        <w:spacing w:before="240" w:line="276" w:lineRule="auto"/>
        <w:rPr>
          <w:rFonts w:ascii="Cambria" w:eastAsia="Cambria" w:hAnsi="Cambria" w:cs="Cambria"/>
          <w:b/>
          <w:color w:val="365F91"/>
          <w:sz w:val="30"/>
        </w:rPr>
      </w:pPr>
      <w:r>
        <w:rPr>
          <w:rFonts w:ascii="Cambria" w:eastAsia="Cambria" w:hAnsi="Cambria" w:cs="Cambria"/>
          <w:b/>
          <w:color w:val="365F91"/>
          <w:sz w:val="30"/>
        </w:rPr>
        <w:t>Divers</w:t>
      </w:r>
      <w:r w:rsidRPr="008B493E">
        <w:rPr>
          <w:rFonts w:ascii="Cambria" w:eastAsia="Cambria" w:hAnsi="Cambria" w:cs="Cambria"/>
          <w:b/>
          <w:color w:val="365F91"/>
          <w:sz w:val="30"/>
        </w:rPr>
        <w:t xml:space="preserve">  </w:t>
      </w:r>
    </w:p>
    <w:p w:rsidR="00886304" w:rsidRDefault="00886304" w:rsidP="00886304">
      <w:pPr>
        <w:jc w:val="both"/>
      </w:pPr>
      <w:r>
        <w:t xml:space="preserve">La demande de séjour de Pape est finalisée et la prochaine réunion est programmée pour le Lundi 1er Avril 2019.  </w:t>
      </w:r>
    </w:p>
    <w:p w:rsidR="004E3E84" w:rsidRPr="00886304" w:rsidRDefault="00886304" w:rsidP="008648F6">
      <w:pPr>
        <w:spacing w:before="240" w:line="600" w:lineRule="auto"/>
        <w:jc w:val="both"/>
      </w:pPr>
      <w:r>
        <w:t>La séance a durée 1h et a pris fin à 11h heure Sénégal.</w:t>
      </w:r>
    </w:p>
    <w:sectPr w:rsidR="004E3E84" w:rsidRPr="00886304">
      <w:footerReference w:type="default" r:id="rId12"/>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B7A" w:rsidRDefault="00457B7A">
      <w:r>
        <w:separator/>
      </w:r>
    </w:p>
  </w:endnote>
  <w:endnote w:type="continuationSeparator" w:id="0">
    <w:p w:rsidR="00457B7A" w:rsidRDefault="0045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E84" w:rsidRDefault="004E3E84">
    <w:pPr>
      <w:pStyle w:val="Pieddepage"/>
    </w:pPr>
    <w:r>
      <w:rPr>
        <w:noProof/>
        <w:color w:val="4F81BD"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586A8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001B3D04" w:rsidRPr="001B3D04">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B7A" w:rsidRDefault="00457B7A">
      <w:r>
        <w:separator/>
      </w:r>
    </w:p>
  </w:footnote>
  <w:footnote w:type="continuationSeparator" w:id="0">
    <w:p w:rsidR="00457B7A" w:rsidRDefault="00457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8"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3DEB1216"/>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5F3D68"/>
    <w:multiLevelType w:val="hybridMultilevel"/>
    <w:tmpl w:val="157C9250"/>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2"/>
  </w:num>
  <w:num w:numId="4">
    <w:abstractNumId w:val="7"/>
  </w:num>
  <w:num w:numId="5">
    <w:abstractNumId w:val="8"/>
  </w:num>
  <w:num w:numId="6">
    <w:abstractNumId w:val="5"/>
  </w:num>
  <w:num w:numId="7">
    <w:abstractNumId w:val="0"/>
  </w:num>
  <w:num w:numId="8">
    <w:abstractNumId w:val="6"/>
  </w:num>
  <w:num w:numId="9">
    <w:abstractNumId w:val="11"/>
  </w:num>
  <w:num w:numId="10">
    <w:abstractNumId w:val="10"/>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2441C"/>
    <w:rsid w:val="00040E01"/>
    <w:rsid w:val="000522DC"/>
    <w:rsid w:val="00052C5C"/>
    <w:rsid w:val="000B6482"/>
    <w:rsid w:val="000C0AE6"/>
    <w:rsid w:val="000C1178"/>
    <w:rsid w:val="000D2559"/>
    <w:rsid w:val="000D3496"/>
    <w:rsid w:val="000E6E82"/>
    <w:rsid w:val="000E7BCD"/>
    <w:rsid w:val="00101ED8"/>
    <w:rsid w:val="001317E2"/>
    <w:rsid w:val="001615B4"/>
    <w:rsid w:val="00162066"/>
    <w:rsid w:val="001B3D04"/>
    <w:rsid w:val="001D1700"/>
    <w:rsid w:val="001D70A4"/>
    <w:rsid w:val="001E23A6"/>
    <w:rsid w:val="001E4442"/>
    <w:rsid w:val="00217E2A"/>
    <w:rsid w:val="00240B93"/>
    <w:rsid w:val="00240FE0"/>
    <w:rsid w:val="00241559"/>
    <w:rsid w:val="002420AF"/>
    <w:rsid w:val="002469FE"/>
    <w:rsid w:val="002748E1"/>
    <w:rsid w:val="002A0398"/>
    <w:rsid w:val="002C43F4"/>
    <w:rsid w:val="002E597B"/>
    <w:rsid w:val="00313025"/>
    <w:rsid w:val="00322C94"/>
    <w:rsid w:val="0035042C"/>
    <w:rsid w:val="0035364B"/>
    <w:rsid w:val="00382EC1"/>
    <w:rsid w:val="003A212E"/>
    <w:rsid w:val="003C7878"/>
    <w:rsid w:val="00417D07"/>
    <w:rsid w:val="00453AE1"/>
    <w:rsid w:val="00457B7A"/>
    <w:rsid w:val="004634F9"/>
    <w:rsid w:val="0046543D"/>
    <w:rsid w:val="004B140C"/>
    <w:rsid w:val="004C1C33"/>
    <w:rsid w:val="004E262E"/>
    <w:rsid w:val="004E3E84"/>
    <w:rsid w:val="004F1161"/>
    <w:rsid w:val="00503279"/>
    <w:rsid w:val="00504068"/>
    <w:rsid w:val="00507C10"/>
    <w:rsid w:val="005656DE"/>
    <w:rsid w:val="00573AD9"/>
    <w:rsid w:val="0058270B"/>
    <w:rsid w:val="005A4D5C"/>
    <w:rsid w:val="005A7E43"/>
    <w:rsid w:val="005C16A6"/>
    <w:rsid w:val="005C4028"/>
    <w:rsid w:val="005C77C3"/>
    <w:rsid w:val="005D21A8"/>
    <w:rsid w:val="005E1CC8"/>
    <w:rsid w:val="005E2FB1"/>
    <w:rsid w:val="005E4E73"/>
    <w:rsid w:val="005F36FA"/>
    <w:rsid w:val="00614EDB"/>
    <w:rsid w:val="00623FC5"/>
    <w:rsid w:val="0062477F"/>
    <w:rsid w:val="006307B1"/>
    <w:rsid w:val="00637264"/>
    <w:rsid w:val="00640B44"/>
    <w:rsid w:val="0065485A"/>
    <w:rsid w:val="006803D1"/>
    <w:rsid w:val="006A3611"/>
    <w:rsid w:val="006B02D9"/>
    <w:rsid w:val="006D258F"/>
    <w:rsid w:val="006E658F"/>
    <w:rsid w:val="006F407A"/>
    <w:rsid w:val="007005A5"/>
    <w:rsid w:val="00712BFA"/>
    <w:rsid w:val="00733613"/>
    <w:rsid w:val="00733FAA"/>
    <w:rsid w:val="00752AE0"/>
    <w:rsid w:val="00755D73"/>
    <w:rsid w:val="00771AEA"/>
    <w:rsid w:val="007D10D6"/>
    <w:rsid w:val="00824B0C"/>
    <w:rsid w:val="008427AC"/>
    <w:rsid w:val="0086277E"/>
    <w:rsid w:val="008648F6"/>
    <w:rsid w:val="008654B4"/>
    <w:rsid w:val="00872224"/>
    <w:rsid w:val="00886304"/>
    <w:rsid w:val="008A2AFB"/>
    <w:rsid w:val="008B3C1E"/>
    <w:rsid w:val="008B493E"/>
    <w:rsid w:val="008D1E7D"/>
    <w:rsid w:val="00921026"/>
    <w:rsid w:val="00931614"/>
    <w:rsid w:val="0093187B"/>
    <w:rsid w:val="00943B53"/>
    <w:rsid w:val="00973D79"/>
    <w:rsid w:val="009769E9"/>
    <w:rsid w:val="00985B46"/>
    <w:rsid w:val="00995176"/>
    <w:rsid w:val="009A02E7"/>
    <w:rsid w:val="009F3D48"/>
    <w:rsid w:val="00A2299A"/>
    <w:rsid w:val="00A40ED1"/>
    <w:rsid w:val="00A426E4"/>
    <w:rsid w:val="00A54228"/>
    <w:rsid w:val="00A5698C"/>
    <w:rsid w:val="00A827A7"/>
    <w:rsid w:val="00A84A9E"/>
    <w:rsid w:val="00A979F5"/>
    <w:rsid w:val="00AA1304"/>
    <w:rsid w:val="00B178FC"/>
    <w:rsid w:val="00B27044"/>
    <w:rsid w:val="00B34EF2"/>
    <w:rsid w:val="00B368B9"/>
    <w:rsid w:val="00B46627"/>
    <w:rsid w:val="00B514EF"/>
    <w:rsid w:val="00B521C1"/>
    <w:rsid w:val="00B52800"/>
    <w:rsid w:val="00B57DC6"/>
    <w:rsid w:val="00B702F1"/>
    <w:rsid w:val="00BA2CE1"/>
    <w:rsid w:val="00BA2EA7"/>
    <w:rsid w:val="00BC24B4"/>
    <w:rsid w:val="00BD727F"/>
    <w:rsid w:val="00BE16C2"/>
    <w:rsid w:val="00BF188E"/>
    <w:rsid w:val="00C13693"/>
    <w:rsid w:val="00C52C14"/>
    <w:rsid w:val="00C63E85"/>
    <w:rsid w:val="00CB0D7A"/>
    <w:rsid w:val="00CB665E"/>
    <w:rsid w:val="00CC5B81"/>
    <w:rsid w:val="00CD1562"/>
    <w:rsid w:val="00CE3783"/>
    <w:rsid w:val="00D55899"/>
    <w:rsid w:val="00D83C92"/>
    <w:rsid w:val="00D8427A"/>
    <w:rsid w:val="00DA11EC"/>
    <w:rsid w:val="00DA6D19"/>
    <w:rsid w:val="00DA7C39"/>
    <w:rsid w:val="00DB3DA1"/>
    <w:rsid w:val="00DC5DA1"/>
    <w:rsid w:val="00E15F3E"/>
    <w:rsid w:val="00E37E12"/>
    <w:rsid w:val="00E41A80"/>
    <w:rsid w:val="00E448D0"/>
    <w:rsid w:val="00E72EA5"/>
    <w:rsid w:val="00E81B26"/>
    <w:rsid w:val="00E92098"/>
    <w:rsid w:val="00ED7688"/>
    <w:rsid w:val="00F25EEB"/>
    <w:rsid w:val="00F30E8F"/>
    <w:rsid w:val="00F4043B"/>
    <w:rsid w:val="00F43363"/>
    <w:rsid w:val="00F52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A5A49D-8F51-40AE-822D-E95BD9AB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B1"/>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infotron-dev.mpl.ird.fr:8080/sanarsoft/informationList?type=keywordName&amp;contents=convention+IRD-SanarSoft" TargetMode="External"/><Relationship Id="rId5" Type="http://schemas.openxmlformats.org/officeDocument/2006/relationships/webSettings" Target="webSettings.xml"/><Relationship Id="rId10" Type="http://schemas.openxmlformats.org/officeDocument/2006/relationships/hyperlink" Target="http://vminfotron-dev.mpl.ird.fr:8080/sanarsoft/informationList?type=keywordName&amp;contents=compte-rendu" TargetMode="External"/><Relationship Id="rId4" Type="http://schemas.openxmlformats.org/officeDocument/2006/relationships/settings" Target="settings.xml"/><Relationship Id="rId9" Type="http://schemas.openxmlformats.org/officeDocument/2006/relationships/hyperlink" Target="http://vminfotron-dev.mpl.ird.fr:8080/sanarsoft/informationList?type=keywordName&amp;contents=AFIDB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FE4D-AB27-475E-95CD-56571810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349</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Le Fur</dc:creator>
  <cp:lastModifiedBy>Papa Jules</cp:lastModifiedBy>
  <cp:revision>9</cp:revision>
  <cp:lastPrinted>2022-03-14T02:02:00Z</cp:lastPrinted>
  <dcterms:created xsi:type="dcterms:W3CDTF">2020-04-15T14:48:00Z</dcterms:created>
  <dcterms:modified xsi:type="dcterms:W3CDTF">2022-03-14T02:02:00Z</dcterms:modified>
</cp:coreProperties>
</file>